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851" w:leader="none"/>
        </w:tabs>
        <w:spacing w:before="60" w:after="0"/>
        <w:rPr>
          <w:b/>
          <w:b/>
          <w:bCs/>
          <w:i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</w:r>
    </w:p>
    <w:p>
      <w:pPr>
        <w:pStyle w:val="Normal"/>
        <w:tabs>
          <w:tab w:val="clear" w:pos="709"/>
          <w:tab w:val="left" w:pos="851" w:leader="none"/>
        </w:tabs>
        <w:ind w:left="0" w:right="0" w:firstLine="142"/>
        <w:jc w:val="center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ОБЩИЕ УСЛОВИЯ ООО «ВЕЗДЕХОДЫ «БУРЛАК»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567"/>
        <w:jc w:val="center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О НЕРАЗГЛАШЕНИИ КОНФИДЕНЦИАЛЬНОЙ ИНФОРМАЦИИ</w:t>
      </w:r>
    </w:p>
    <w:p>
      <w:pPr>
        <w:pStyle w:val="Normal"/>
        <w:tabs>
          <w:tab w:val="clear" w:pos="709"/>
          <w:tab w:val="left" w:pos="851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9"/>
          <w:tab w:val="left" w:pos="851" w:leader="none"/>
        </w:tabs>
        <w:ind w:left="0" w:right="0" w:firstLine="567"/>
        <w:rPr/>
      </w:pPr>
      <w:bookmarkStart w:id="0" w:name="_DV_M12"/>
      <w:bookmarkStart w:id="1" w:name="_DV_M9"/>
      <w:bookmarkStart w:id="2" w:name="_DV_M10"/>
      <w:bookmarkStart w:id="3" w:name="_DV_M11"/>
      <w:bookmarkEnd w:id="0"/>
      <w:bookmarkEnd w:id="1"/>
      <w:bookmarkEnd w:id="2"/>
      <w:bookmarkEnd w:id="3"/>
      <w:r>
        <w:rPr>
          <w:rFonts w:cs="Arial" w:ascii="Arial" w:hAnsi="Arial"/>
          <w:bCs/>
          <w:sz w:val="20"/>
        </w:rPr>
        <w:t>Общие условия о неразглашении конфиденциальной информации ООО «Вездеходы «Бурлак» (далее – «</w:t>
      </w:r>
      <w:r>
        <w:rPr>
          <w:rFonts w:cs="Arial" w:ascii="Arial" w:hAnsi="Arial"/>
          <w:b/>
          <w:sz w:val="20"/>
        </w:rPr>
        <w:t>Общие условия</w:t>
      </w:r>
      <w:r>
        <w:rPr>
          <w:rFonts w:cs="Arial" w:ascii="Arial" w:hAnsi="Arial"/>
          <w:bCs/>
          <w:sz w:val="20"/>
        </w:rPr>
        <w:t xml:space="preserve">» или </w:t>
      </w:r>
      <w:r>
        <w:rPr>
          <w:rFonts w:cs="Arial" w:ascii="Arial" w:hAnsi="Arial"/>
          <w:b/>
          <w:bCs/>
          <w:sz w:val="20"/>
        </w:rPr>
        <w:t>«Условия»</w:t>
      </w:r>
      <w:r>
        <w:rPr>
          <w:rFonts w:cs="Arial" w:ascii="Arial" w:hAnsi="Arial"/>
          <w:bCs/>
          <w:sz w:val="20"/>
        </w:rPr>
        <w:t>)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Cs/>
          <w:iCs/>
          <w:kern w:val="2"/>
          <w:sz w:val="20"/>
        </w:rPr>
        <w:t xml:space="preserve">распространяют свое действие на:  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567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66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bCs/>
          <w:sz w:val="20"/>
          <w:szCs w:val="20"/>
          <w:lang w:val="ru-RU"/>
        </w:rPr>
        <w:t>ООО «Вездеходы «Бурлак»</w:t>
      </w:r>
      <w:r>
        <w:rPr>
          <w:rFonts w:cs="Arial"/>
          <w:sz w:val="20"/>
          <w:szCs w:val="20"/>
          <w:lang w:val="ru-RU"/>
        </w:rPr>
        <w:t xml:space="preserve">, </w:t>
      </w:r>
      <w:r>
        <w:rPr>
          <w:rFonts w:cs="Arial"/>
          <w:bCs/>
          <w:iCs/>
          <w:kern w:val="2"/>
          <w:sz w:val="20"/>
          <w:szCs w:val="20"/>
          <w:lang w:val="ru-RU"/>
        </w:rPr>
        <w:t>юридические лица, учрежденные и осуществляющие свою деятельность в соответствии с законодательством Российской Федерации (каждое в отдельности именуемое «</w:t>
      </w:r>
      <w:r>
        <w:rPr>
          <w:rFonts w:cs="Arial"/>
          <w:b/>
          <w:bCs/>
          <w:iCs/>
          <w:kern w:val="2"/>
          <w:sz w:val="20"/>
          <w:szCs w:val="20"/>
          <w:lang w:val="ru-RU"/>
        </w:rPr>
        <w:t>Предприятие»</w:t>
      </w:r>
      <w:r>
        <w:rPr>
          <w:rFonts w:cs="Arial"/>
          <w:bCs/>
          <w:iCs/>
          <w:kern w:val="2"/>
          <w:sz w:val="20"/>
          <w:szCs w:val="20"/>
          <w:lang w:val="ru-RU"/>
        </w:rPr>
        <w:t>)</w:t>
      </w:r>
      <w:r>
        <w:rPr>
          <w:rFonts w:cs="Arial"/>
          <w:i/>
          <w:sz w:val="20"/>
          <w:szCs w:val="20"/>
          <w:lang w:val="ru-RU"/>
        </w:rPr>
        <w:t xml:space="preserve"> </w:t>
      </w:r>
      <w:r>
        <w:rPr>
          <w:rFonts w:cs="Arial"/>
          <w:bCs/>
          <w:iCs/>
          <w:kern w:val="2"/>
          <w:sz w:val="20"/>
          <w:szCs w:val="20"/>
          <w:lang w:val="ru-RU"/>
        </w:rPr>
        <w:t xml:space="preserve">и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bCs/>
          <w:iCs/>
          <w:kern w:val="2"/>
          <w:sz w:val="20"/>
          <w:szCs w:val="20"/>
          <w:lang w:val="ru-RU"/>
        </w:rPr>
        <w:t>юридическое лицо или индивидуальный предприниматель, («</w:t>
      </w:r>
      <w:r>
        <w:rPr>
          <w:rFonts w:cs="Arial"/>
          <w:b/>
          <w:bCs/>
          <w:iCs/>
          <w:kern w:val="2"/>
          <w:sz w:val="20"/>
          <w:szCs w:val="20"/>
          <w:lang w:val="ru-RU"/>
        </w:rPr>
        <w:t>Контрагент»</w:t>
      </w:r>
      <w:r>
        <w:rPr>
          <w:rFonts w:cs="Arial"/>
          <w:bCs/>
          <w:iCs/>
          <w:kern w:val="2"/>
          <w:sz w:val="20"/>
          <w:szCs w:val="20"/>
          <w:lang w:val="ru-RU"/>
        </w:rPr>
        <w:t>)</w:t>
      </w:r>
    </w:p>
    <w:p>
      <w:pPr>
        <w:pStyle w:val="Normal"/>
        <w:tabs>
          <w:tab w:val="clear" w:pos="709"/>
          <w:tab w:val="left" w:pos="426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ind w:left="0" w:right="0" w:firstLine="567"/>
        <w:rPr/>
      </w:pPr>
      <w:r>
        <w:rPr>
          <w:rFonts w:cs="Arial" w:ascii="Arial" w:hAnsi="Arial"/>
          <w:bCs/>
          <w:iCs/>
          <w:kern w:val="2"/>
          <w:sz w:val="20"/>
        </w:rPr>
        <w:t>(в дальнейшем совместно именуемыми «</w:t>
      </w:r>
      <w:r>
        <w:rPr>
          <w:rFonts w:cs="Arial" w:ascii="Arial" w:hAnsi="Arial"/>
          <w:b/>
          <w:iCs/>
          <w:kern w:val="2"/>
          <w:sz w:val="20"/>
        </w:rPr>
        <w:t>Стороны</w:t>
      </w:r>
      <w:r>
        <w:rPr>
          <w:rFonts w:cs="Arial" w:ascii="Arial" w:hAnsi="Arial"/>
          <w:bCs/>
          <w:iCs/>
          <w:kern w:val="2"/>
          <w:sz w:val="20"/>
        </w:rPr>
        <w:t>», а по отдельности – «</w:t>
      </w:r>
      <w:r>
        <w:rPr>
          <w:rFonts w:cs="Arial" w:ascii="Arial" w:hAnsi="Arial"/>
          <w:b/>
          <w:iCs/>
          <w:kern w:val="2"/>
          <w:sz w:val="20"/>
        </w:rPr>
        <w:t>Сторона</w:t>
      </w:r>
      <w:r>
        <w:rPr>
          <w:rFonts w:cs="Arial" w:ascii="Arial" w:hAnsi="Arial"/>
          <w:bCs/>
          <w:iCs/>
          <w:kern w:val="2"/>
          <w:sz w:val="20"/>
        </w:rPr>
        <w:t>»).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288" w:before="240" w:after="120"/>
        <w:ind w:left="0" w:right="0" w:firstLine="567"/>
        <w:contextualSpacing/>
        <w:rPr>
          <w:rFonts w:cs="Arial"/>
          <w:b/>
          <w:b/>
          <w:bCs/>
          <w:caps/>
          <w:sz w:val="20"/>
          <w:szCs w:val="20"/>
          <w:lang w:val="ru-RU"/>
        </w:rPr>
      </w:pPr>
      <w:r>
        <w:rPr>
          <w:rFonts w:cs="Arial"/>
          <w:b/>
          <w:bCs/>
          <w:caps/>
          <w:sz w:val="20"/>
          <w:szCs w:val="20"/>
          <w:lang w:val="ru-RU"/>
        </w:rPr>
        <w:t>Принимая во внимание, что: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bCs/>
          <w:iCs/>
          <w:kern w:val="2"/>
          <w:sz w:val="20"/>
          <w:szCs w:val="20"/>
          <w:lang w:val="ru-RU"/>
        </w:rPr>
        <w:t>В рамках совместных бизнес-проектов Стороны намерены</w:t>
      </w:r>
      <w:r>
        <w:rPr>
          <w:rFonts w:cs="Arial"/>
          <w:color w:val="000000"/>
          <w:sz w:val="20"/>
          <w:szCs w:val="20"/>
          <w:lang w:val="ru-RU"/>
        </w:rPr>
        <w:t xml:space="preserve"> (</w:t>
      </w:r>
      <w:r>
        <w:rPr>
          <w:rFonts w:cs="Arial"/>
          <w:iCs/>
          <w:sz w:val="20"/>
          <w:szCs w:val="20"/>
          <w:lang w:val="ru-RU"/>
        </w:rPr>
        <w:t>далее – «</w:t>
      </w:r>
      <w:r>
        <w:rPr>
          <w:rFonts w:cs="Arial"/>
          <w:b/>
          <w:bCs/>
          <w:iCs/>
          <w:sz w:val="20"/>
          <w:szCs w:val="20"/>
          <w:lang w:val="ru-RU"/>
        </w:rPr>
        <w:t>Предмет сотрудничества</w:t>
      </w:r>
      <w:r>
        <w:rPr>
          <w:rFonts w:cs="Arial"/>
          <w:iCs/>
          <w:sz w:val="20"/>
          <w:szCs w:val="20"/>
          <w:lang w:val="ru-RU"/>
        </w:rPr>
        <w:t xml:space="preserve">») обмениваться Конфиденциальной информацией.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bCs/>
          <w:iCs/>
          <w:kern w:val="2"/>
          <w:sz w:val="20"/>
          <w:szCs w:val="20"/>
          <w:lang w:val="ru-RU"/>
        </w:rPr>
        <w:t xml:space="preserve">Стороны подтверждают, что в случае если одна из Сторон (далее – </w:t>
      </w:r>
      <w:r>
        <w:rPr>
          <w:rFonts w:cs="Arial"/>
          <w:b/>
          <w:bCs/>
          <w:iCs/>
          <w:kern w:val="2"/>
          <w:sz w:val="20"/>
          <w:szCs w:val="20"/>
          <w:lang w:val="ru-RU"/>
        </w:rPr>
        <w:t>«Раскрывающая сторона»</w:t>
      </w:r>
      <w:r>
        <w:rPr>
          <w:rFonts w:cs="Arial"/>
          <w:bCs/>
          <w:iCs/>
          <w:kern w:val="2"/>
          <w:sz w:val="20"/>
          <w:szCs w:val="20"/>
          <w:lang w:val="ru-RU"/>
        </w:rPr>
        <w:t xml:space="preserve">) сообщает Конфиденциальную информацию другой Стороне (далее – </w:t>
      </w:r>
      <w:r>
        <w:rPr>
          <w:rFonts w:cs="Arial"/>
          <w:b/>
          <w:bCs/>
          <w:iCs/>
          <w:kern w:val="2"/>
          <w:sz w:val="20"/>
          <w:szCs w:val="20"/>
          <w:lang w:val="ru-RU"/>
        </w:rPr>
        <w:t>«Принимающая сторона»</w:t>
      </w:r>
      <w:r>
        <w:rPr>
          <w:rFonts w:cs="Arial"/>
          <w:bCs/>
          <w:iCs/>
          <w:kern w:val="2"/>
          <w:sz w:val="20"/>
          <w:szCs w:val="20"/>
          <w:lang w:val="ru-RU"/>
        </w:rPr>
        <w:t>), то должны соблюдаться требования Общих условий;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bCs/>
          <w:iCs/>
          <w:kern w:val="2"/>
          <w:sz w:val="20"/>
          <w:szCs w:val="20"/>
          <w:lang w:val="ru-RU"/>
        </w:rPr>
      </w:pPr>
      <w:r>
        <w:rPr>
          <w:rFonts w:cs="Arial"/>
          <w:bCs/>
          <w:iCs/>
          <w:kern w:val="2"/>
          <w:sz w:val="20"/>
          <w:szCs w:val="20"/>
          <w:lang w:val="ru-RU"/>
        </w:rPr>
        <w:t>Контрагент присоединяется к Общим условиям на основании Уведомления о присоединении к Общим условиям, направленному в адрес Предприятия или путем подписания Договора, содержащего положения о присоединении к Общим условиям в порядке, установленном ст. 428 Гражданского кодекса Российской Федерации и Общими условиями;</w:t>
      </w:r>
    </w:p>
    <w:p>
      <w:pPr>
        <w:pStyle w:val="ListParagraph"/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bCs/>
          <w:iCs/>
          <w:kern w:val="2"/>
          <w:sz w:val="20"/>
          <w:szCs w:val="20"/>
          <w:lang w:val="ru-RU"/>
        </w:rPr>
      </w:pPr>
      <w:r>
        <w:rPr>
          <w:rFonts w:cs="Arial"/>
          <w:bCs/>
          <w:iCs/>
          <w:kern w:val="2"/>
          <w:sz w:val="20"/>
          <w:szCs w:val="20"/>
          <w:lang w:val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>
          <w:rFonts w:cs="Arial"/>
          <w:b/>
          <w:b/>
          <w:bCs/>
          <w:caps/>
          <w:sz w:val="20"/>
          <w:szCs w:val="20"/>
          <w:lang w:val="ru-RU"/>
        </w:rPr>
      </w:pPr>
      <w:bookmarkStart w:id="4" w:name="_Ref490038241"/>
      <w:bookmarkStart w:id="5" w:name="_Toc465692974"/>
      <w:bookmarkStart w:id="6" w:name="_Ref489982160"/>
      <w:bookmarkStart w:id="7" w:name="_Ref490038224"/>
      <w:r>
        <w:rPr>
          <w:rFonts w:cs="Arial"/>
          <w:b/>
          <w:bCs/>
          <w:caps/>
          <w:sz w:val="20"/>
          <w:szCs w:val="20"/>
          <w:lang w:val="ru-RU"/>
        </w:rPr>
        <w:t>ОПРЕДЕЛЕНИЯ И ТОЛКОВАНИЕ</w:t>
      </w:r>
      <w:bookmarkEnd w:id="4"/>
      <w:bookmarkEnd w:id="5"/>
      <w:bookmarkEnd w:id="6"/>
      <w:bookmarkEnd w:id="7"/>
    </w:p>
    <w:p>
      <w:pPr>
        <w:pStyle w:val="ListParagraph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bookmarkStart w:id="8" w:name="_Ref466391235"/>
      <w:r>
        <w:rPr>
          <w:rFonts w:cs="Arial"/>
          <w:b/>
          <w:bCs/>
          <w:sz w:val="20"/>
          <w:szCs w:val="20"/>
          <w:lang w:val="ru-RU"/>
        </w:rPr>
        <w:t xml:space="preserve">«Аффилированное лицо» </w:t>
      </w:r>
      <w:bookmarkEnd w:id="8"/>
      <w:r>
        <w:rPr>
          <w:rFonts w:cs="Arial"/>
          <w:sz w:val="20"/>
          <w:szCs w:val="20"/>
          <w:lang w:val="ru-RU"/>
        </w:rPr>
        <w:t>означает (i) применительно к каждой Стороне – любое другое физическое и (или) юридическое лицо, напрямую или косвенно Контролирующее, Контролируемое или находящееся под общим Контролем с такой Стороной;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>«</w:t>
      </w:r>
      <w:r>
        <w:rPr>
          <w:rFonts w:cs="Arial"/>
          <w:b/>
          <w:bCs/>
          <w:sz w:val="20"/>
          <w:szCs w:val="20"/>
          <w:lang w:val="ru-RU"/>
        </w:rPr>
        <w:t>Контроль</w:t>
      </w:r>
      <w:r>
        <w:rPr>
          <w:rFonts w:cs="Arial"/>
          <w:sz w:val="20"/>
          <w:szCs w:val="20"/>
          <w:lang w:val="ru-RU"/>
        </w:rPr>
        <w:t>» (включая такие термины, как «</w:t>
      </w:r>
      <w:r>
        <w:rPr>
          <w:rFonts w:cs="Arial"/>
          <w:b/>
          <w:bCs/>
          <w:sz w:val="20"/>
          <w:szCs w:val="20"/>
          <w:lang w:val="ru-RU"/>
        </w:rPr>
        <w:t>Контролирующий</w:t>
      </w:r>
      <w:r>
        <w:rPr>
          <w:rFonts w:cs="Arial"/>
          <w:sz w:val="20"/>
          <w:szCs w:val="20"/>
          <w:lang w:val="ru-RU"/>
        </w:rPr>
        <w:t>», «</w:t>
      </w:r>
      <w:r>
        <w:rPr>
          <w:rFonts w:cs="Arial"/>
          <w:b/>
          <w:bCs/>
          <w:sz w:val="20"/>
          <w:szCs w:val="20"/>
          <w:lang w:val="ru-RU"/>
        </w:rPr>
        <w:t>Контролируемый</w:t>
      </w:r>
      <w:r>
        <w:rPr>
          <w:rFonts w:cs="Arial"/>
          <w:sz w:val="20"/>
          <w:szCs w:val="20"/>
          <w:lang w:val="ru-RU"/>
        </w:rPr>
        <w:t>» и «</w:t>
      </w:r>
      <w:r>
        <w:rPr>
          <w:rFonts w:cs="Arial"/>
          <w:b/>
          <w:bCs/>
          <w:sz w:val="20"/>
          <w:szCs w:val="20"/>
          <w:lang w:val="ru-RU"/>
        </w:rPr>
        <w:t>находящийся под общим Контролем</w:t>
      </w:r>
      <w:r>
        <w:rPr>
          <w:rFonts w:cs="Arial"/>
          <w:sz w:val="20"/>
          <w:szCs w:val="20"/>
          <w:lang w:val="ru-RU"/>
        </w:rPr>
        <w:t>») означает владение, прямо или косвенно через одно или несколько звеньев, более чем 50% размещенных акций или наличие возможности определять или влиять на определение управленческой политики или деятельности любого лица, как через участие в уставном капитале, так и в силу договора или иным образом;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b/>
          <w:bCs/>
          <w:iCs/>
          <w:sz w:val="20"/>
          <w:lang w:val="ru-RU"/>
        </w:rPr>
        <w:t>«Конфиденциальная информация»</w:t>
      </w:r>
      <w:r>
        <w:rPr>
          <w:rFonts w:cs="Arial"/>
          <w:bCs/>
          <w:iCs/>
          <w:sz w:val="20"/>
          <w:lang w:val="ru-RU"/>
        </w:rPr>
        <w:t xml:space="preserve"> означает любую информацию, принадлежащую Раскрывающей Стороне и/или ее Аффилированным лицам (в том числе информация о </w:t>
      </w:r>
      <w:r>
        <w:rPr>
          <w:rFonts w:cs="Arial"/>
          <w:bCs/>
          <w:iCs/>
          <w:kern w:val="2"/>
          <w:sz w:val="20"/>
          <w:szCs w:val="20"/>
          <w:lang w:val="ru-RU"/>
        </w:rPr>
        <w:t xml:space="preserve">факте существования сотрудничества или обсуждения каких-либо вопросов между Сторонами), </w:t>
      </w:r>
      <w:r>
        <w:rPr>
          <w:rFonts w:cs="Arial"/>
          <w:bCs/>
          <w:iCs/>
          <w:sz w:val="20"/>
          <w:lang w:val="ru-RU"/>
        </w:rPr>
        <w:t>которую Раскрывающая сторона передает Принимающей стороне в любой форме, напрямую или косвенно (в том числе в рамках проводимых переговоров) в связи с сотрудничеством Сторон (далее – «</w:t>
      </w:r>
      <w:r>
        <w:rPr>
          <w:rFonts w:cs="Arial"/>
          <w:b/>
          <w:iCs/>
          <w:sz w:val="20"/>
          <w:lang w:val="ru-RU"/>
        </w:rPr>
        <w:t>Информация</w:t>
      </w:r>
      <w:r>
        <w:rPr>
          <w:rFonts w:cs="Arial"/>
          <w:bCs/>
          <w:iCs/>
          <w:sz w:val="20"/>
          <w:lang w:val="ru-RU"/>
        </w:rPr>
        <w:t xml:space="preserve">») </w:t>
      </w:r>
      <w:r>
        <w:rPr>
          <w:rFonts w:cs="Arial"/>
          <w:sz w:val="20"/>
          <w:lang w:val="ru-RU"/>
        </w:rPr>
        <w:t>и в отношении которой обладателем такой информации введен Режим Конфиденциальности</w:t>
      </w:r>
      <w:r>
        <w:rPr>
          <w:rFonts w:cs="Arial"/>
          <w:bCs/>
          <w:iCs/>
          <w:sz w:val="20"/>
          <w:lang w:val="ru-RU"/>
        </w:rPr>
        <w:t>;   Обмен   информацией не означает и не предполагает предоставление каких-либо прав и лицензий;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b/>
          <w:sz w:val="20"/>
          <w:lang w:val="ru-RU"/>
        </w:rPr>
        <w:t>Режим Конфиденциальности»</w:t>
      </w:r>
      <w:r>
        <w:rPr>
          <w:lang w:val="ru-RU"/>
        </w:rPr>
        <w:t xml:space="preserve"> </w:t>
      </w:r>
      <w:r>
        <w:rPr>
          <w:rFonts w:cs="Arial"/>
          <w:sz w:val="20"/>
          <w:lang w:val="ru-RU"/>
        </w:rPr>
        <w:t>означает любые меры, принимаемые обладателем Информации, меры по охране ее конфиденциальности в соответствии с законодательством Российской Федерации;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lang w:val="ru-RU"/>
        </w:rPr>
        <w:t>«</w:t>
      </w:r>
      <w:r>
        <w:rPr>
          <w:rFonts w:cs="Arial"/>
          <w:b/>
          <w:bCs/>
          <w:sz w:val="20"/>
          <w:lang w:val="ru-RU"/>
        </w:rPr>
        <w:t>Связанные лица</w:t>
      </w:r>
      <w:r>
        <w:rPr>
          <w:rFonts w:cs="Arial"/>
          <w:sz w:val="20"/>
          <w:lang w:val="ru-RU"/>
        </w:rPr>
        <w:t xml:space="preserve">» любые лица, имеющие отношение к Предмету сотрудничества, в том числе: </w:t>
      </w:r>
    </w:p>
    <w:p>
      <w:pPr>
        <w:pStyle w:val="ListParagraph"/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567" w:right="0" w:hanging="0"/>
        <w:rPr/>
      </w:pPr>
      <w:r>
        <w:rPr>
          <w:rFonts w:cs="Arial"/>
          <w:sz w:val="20"/>
          <w:lang w:val="ru-RU"/>
        </w:rPr>
        <w:t xml:space="preserve">- должностные лица, сотрудники, консультанты, таможенные представители, инвесторы, агенты </w:t>
      </w:r>
      <w:r>
        <w:rPr>
          <w:sz w:val="20"/>
          <w:lang w:val="ru-RU"/>
        </w:rPr>
        <w:t xml:space="preserve">и представители Сторон; </w:t>
      </w:r>
    </w:p>
    <w:p>
      <w:pPr>
        <w:pStyle w:val="Normal"/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sz w:val="20"/>
        </w:rPr>
        <w:t xml:space="preserve">- </w:t>
      </w:r>
      <w:r>
        <w:rPr>
          <w:rFonts w:cs="Arial" w:ascii="Arial" w:hAnsi="Arial"/>
          <w:sz w:val="20"/>
          <w:szCs w:val="24"/>
          <w:lang w:eastAsia="en-US"/>
        </w:rPr>
        <w:t xml:space="preserve">Аффилированные лица и их сотрудники, должностные лица, консультанты, агенты и представители; </w:t>
      </w:r>
    </w:p>
    <w:p>
      <w:pPr>
        <w:pStyle w:val="Normal"/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ascii="Arial" w:hAnsi="Arial" w:cs="Arial"/>
          <w:sz w:val="20"/>
          <w:szCs w:val="24"/>
          <w:lang w:eastAsia="en-US"/>
        </w:rPr>
      </w:pPr>
      <w:r>
        <w:rPr>
          <w:rFonts w:cs="Arial" w:ascii="Arial" w:hAnsi="Arial"/>
          <w:sz w:val="20"/>
          <w:szCs w:val="24"/>
          <w:lang w:eastAsia="en-US"/>
        </w:rPr>
        <w:t>- должностные лица, сотрудников и партнеров вышеназванных консультантов, агентов и представителей или их соответствующих Аффилированных лиц.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/>
      </w:pPr>
      <w:r>
        <w:rPr>
          <w:rFonts w:cs="Arial"/>
          <w:b/>
          <w:bCs/>
          <w:caps/>
          <w:sz w:val="20"/>
          <w:szCs w:val="20"/>
          <w:lang w:val="ru-RU"/>
        </w:rPr>
        <w:t>РАЗРЕШЕННОЕ РАСКРЫТИЕ ИНФОРМАЦИИ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Принимающая сторона вправе разглашать, воспроизводить и распространять Информацию исключительно:  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с предварительного письменного согласия Раскрывающей стороны;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>Связанным лицам Принимающей стороны, привлекаемым к изучению, оценке или реализации Предмета сотрудничества (далее – «</w:t>
      </w:r>
      <w:r>
        <w:rPr>
          <w:rFonts w:cs="Arial"/>
          <w:b/>
          <w:bCs/>
          <w:sz w:val="20"/>
          <w:szCs w:val="20"/>
          <w:lang w:val="ru-RU"/>
        </w:rPr>
        <w:t>Уполномоченные получатели</w:t>
      </w:r>
      <w:r>
        <w:rPr>
          <w:rFonts w:cs="Arial"/>
          <w:sz w:val="20"/>
          <w:szCs w:val="20"/>
          <w:lang w:val="ru-RU"/>
        </w:rPr>
        <w:t>») без получения предварительного согласия Раскрывающей стороны; или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в случаях, когда разглашение требуется в соответствии с законодательством Российской Федерации, при условии, что Принимающая сторона в случае разглашения Информации соблюдает следующий порядок уведомления Раскрывающей стороны: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уведомляет Раскрывающую сторону о разглашении не менее чем за 3 (три) рабочих дня (с указанием формы, сроков, порядка и цели предполагаемого разглашения);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  <w:lang w:val="ru-RU"/>
        </w:rPr>
        <w:t>принимает разумные меры (при наличии такой возможности) для того, чтобы в отношении переданной Информации соблюдался Режим конфиденциальности;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  <w:lang w:val="ru-RU"/>
        </w:rPr>
        <w:t>разглашает Информацию в минимально возможном объеме, необходимом для выполнения требования соответствующего уполномоченного государственного органа.</w:t>
      </w:r>
    </w:p>
    <w:p>
      <w:pPr>
        <w:pStyle w:val="ListParagraph"/>
        <w:numPr>
          <w:ilvl w:val="1"/>
          <w:numId w:val="4"/>
        </w:numPr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При передаче Информации, составляющей коммерческую тайну, на носителях информации указывается гриф «Коммерческая тайна» с указанием наименования Раскрывающей стороны и ее места нахождения.</w:t>
      </w:r>
    </w:p>
    <w:p>
      <w:pPr>
        <w:pStyle w:val="ListParagraph"/>
        <w:numPr>
          <w:ilvl w:val="1"/>
          <w:numId w:val="4"/>
        </w:numPr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Принимающая сторона обязуется довести до сведения Уполномоченных получателей сведения о конфиденциальном характере Информации, а также обеспечить выполнение Уполномоченными получателями обязательств в отношении Информации предусмотренных Общими условия.</w:t>
      </w:r>
    </w:p>
    <w:p>
      <w:pPr>
        <w:pStyle w:val="ListParagraph"/>
        <w:spacing w:lineRule="auto" w:line="288"/>
        <w:ind w:left="792" w:right="0" w:hanging="0"/>
        <w:rPr>
          <w:rFonts w:cs="Arial"/>
          <w:sz w:val="20"/>
          <w:szCs w:val="20"/>
          <w:highlight w:val="yellow"/>
          <w:lang w:val="ru-RU"/>
        </w:rPr>
      </w:pPr>
      <w:r>
        <w:rPr>
          <w:rFonts w:cs="Arial"/>
          <w:sz w:val="20"/>
          <w:szCs w:val="20"/>
          <w:highlight w:val="yellow"/>
          <w:lang w:val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>
          <w:rFonts w:cs="Arial"/>
          <w:b/>
          <w:b/>
          <w:bCs/>
          <w:caps/>
          <w:sz w:val="20"/>
          <w:szCs w:val="20"/>
          <w:lang w:val="ru-RU"/>
        </w:rPr>
      </w:pPr>
      <w:bookmarkStart w:id="9" w:name="_Ref466275973"/>
      <w:bookmarkStart w:id="10" w:name="_Toc465692975"/>
      <w:bookmarkStart w:id="11" w:name="_Ref466275768"/>
      <w:bookmarkStart w:id="12" w:name="_Ref466275870"/>
      <w:r>
        <w:rPr>
          <w:rFonts w:cs="Arial"/>
          <w:b/>
          <w:bCs/>
          <w:caps/>
          <w:sz w:val="20"/>
          <w:szCs w:val="20"/>
          <w:lang w:val="ru-RU"/>
        </w:rPr>
        <w:t>ОБЯЗАТЕЛЬСТВА О НЕРАЗГЛАШЕНИИ</w:t>
      </w:r>
      <w:bookmarkEnd w:id="9"/>
      <w:bookmarkEnd w:id="10"/>
      <w:bookmarkEnd w:id="11"/>
      <w:bookmarkEnd w:id="12"/>
    </w:p>
    <w:p>
      <w:pPr>
        <w:pStyle w:val="ListParagraph"/>
        <w:numPr>
          <w:ilvl w:val="1"/>
          <w:numId w:val="4"/>
        </w:numPr>
        <w:tabs>
          <w:tab w:val="clear" w:pos="709"/>
          <w:tab w:val="left" w:pos="851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Стороны, помимо требований, предусмотренных законодательством Российской Федерации, обязаны как лично, так и в лице своих Уполномоченных представителей: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принимать по отношению к Информации меры, исключающие ее разглашение, как минимум, сопоставимые с мерами, принимаемыми в отношении своей собственной конфиденциальной информации;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>не использовать, не копировать Информацию в любых целях, кроме изучения, оценки и реализации Предмета сотрудничества (далее – «</w:t>
      </w:r>
      <w:r>
        <w:rPr>
          <w:rFonts w:cs="Arial"/>
          <w:b/>
          <w:bCs/>
          <w:sz w:val="20"/>
          <w:szCs w:val="20"/>
          <w:lang w:val="ru-RU"/>
        </w:rPr>
        <w:t>Цель</w:t>
      </w:r>
      <w:r>
        <w:rPr>
          <w:rFonts w:cs="Arial"/>
          <w:sz w:val="20"/>
          <w:szCs w:val="20"/>
          <w:lang w:val="ru-RU"/>
        </w:rPr>
        <w:t>»);</w:t>
      </w:r>
      <w:r>
        <w:rPr>
          <w:rFonts w:cs="Arial"/>
          <w:iCs/>
          <w:color w:val="548DD4"/>
          <w:sz w:val="20"/>
          <w:szCs w:val="20"/>
          <w:lang w:val="ru-RU"/>
        </w:rPr>
        <w:t xml:space="preserve"> 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не разглашать, не воспроизводить, не распространять Информацию и не предоставлять иным образом доступ к Информации в любой форме или любым способом каким-либо лицам, за исключением Уполномоченных получателей Стороны.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не передавать Информацию, по открытым каналам связи и с использованием незакодированной информации по интернет-каналам.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851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rPr>
          <w:rFonts w:cs="Arial"/>
          <w:sz w:val="20"/>
          <w:lang w:val="ru-RU"/>
        </w:rPr>
      </w:pPr>
      <w:r>
        <w:rPr>
          <w:rFonts w:cs="Arial"/>
          <w:sz w:val="20"/>
          <w:lang w:val="ru-RU"/>
        </w:rPr>
        <w:t>Обязательства о неразглашении Информации, не применимы к Информации, которая: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является общеизвестной на момент ее разглашения или общедоступной, кроме случаев нарушения своих обязательств Принимающей стороной и ее Уполномоченными получателями. Во избежание сомнений, Стороны согласовали, что:</w:t>
      </w:r>
    </w:p>
    <w:p>
      <w:pPr>
        <w:pStyle w:val="ListParagraph"/>
        <w:tabs>
          <w:tab w:val="clear" w:pos="709"/>
          <w:tab w:val="left" w:pos="851" w:leader="none"/>
          <w:tab w:val="left" w:pos="1276" w:leader="none"/>
          <w:tab w:val="left" w:pos="2127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- Информация не может считаться общеизвестной исключительно на том основании, что такие сведения находятся в распоряжении нескольких лиц, для которых такая Информация может представлять коммерческий интерес,</w:t>
      </w:r>
    </w:p>
    <w:p>
      <w:pPr>
        <w:pStyle w:val="ListParagraph"/>
        <w:tabs>
          <w:tab w:val="clear" w:pos="709"/>
          <w:tab w:val="left" w:pos="851" w:leader="none"/>
          <w:tab w:val="left" w:pos="1276" w:leader="none"/>
          <w:tab w:val="left" w:pos="2127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- наличие открытого доступа к отдельным сведениям, относимым к Информации не подразумевает общедоступность любых других относимых к Информации сведений;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правомерно получена Принимающей стороной или ее Уполномоченными получателями до момента ее разглашения в соответствии с Общими условиями (при наличии у Принимающей стороны и ее Уполномоченных получателей соответствующих доказательств); или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правомерно получена Принимающей стороной или ее Уполномоченными получателями после момента разглашения в соответствии с Общими условиями (при наличии у Принимающей стороны или ее Уполномоченных получателей соответствующих доказательств) от каких-либо лиц, не являющихся Стороной Общих условий, которые не несут обязательств о неразглашении перед Раскрывающей стороной в части, касающейся вышеуказанной Информации;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разработана Принимающей стороной или Уполномоченными получателями на независимой основе без использования в любой части Информации (при наличии у Принимающей стороны и ее Уполномоченных получателей соответствующих обоснованных доказательств).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4.3. Стороны не вправе переуступать, передавать (в том числе по договору субподряда), закладывать, обременять или иным образом распоряжаться предусмотренными Общими условиями правами и обязательствами (полностью или частично).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 xml:space="preserve">4.4. Контрагент не вправе без письменного предварительного согласия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>ООО «Вездеходы «Бурлак»</w:t>
      </w:r>
      <w:r>
        <w:rPr>
          <w:rFonts w:cs="Arial"/>
          <w:sz w:val="20"/>
          <w:szCs w:val="20"/>
          <w:lang w:val="ru-RU"/>
        </w:rPr>
        <w:t xml:space="preserve"> разглашать (в том числе раскрывать, передавать) третьим лицам любым способом, в том числе в средствах массовой информации и сети Internet, любые сведения, касающиеся Предмета сотрудничества и (или) договора, в котором изложена обязанность Контрагента соблюдать требования Общих условий (далее - Договор), а также сведения о ООО «Вездеходы «Бурлак», его аффилированных лицах и/или контрагентах, а также об их деятельности, равно как и ссылаться каким-либо способом на сотрудничество с ними в отношениях с любыми третьими лицами. Контрагент не вправе без предварительного письменного согласия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>ООО «Вездеходы «Бурлак»</w:t>
      </w:r>
      <w:r>
        <w:rPr>
          <w:rFonts w:cs="Arial"/>
          <w:sz w:val="20"/>
          <w:szCs w:val="20"/>
          <w:lang w:val="ru-RU"/>
        </w:rPr>
        <w:t xml:space="preserve"> использовать каким-либо способом, в том числе в доменном имени и в сети Интернет, обозначения, тождественные или сходные до степени смешения с доменными именами, товарными знаками, коммерческими обозначениями и другими средствами индивидуализации, принадлежащими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>ООО «Вездеходы «Бурлак»</w:t>
      </w:r>
      <w:r>
        <w:rPr>
          <w:rFonts w:cs="Arial"/>
          <w:sz w:val="20"/>
          <w:szCs w:val="20"/>
          <w:lang w:val="ru-RU"/>
        </w:rPr>
        <w:t xml:space="preserve">, а также осуществлять действия по регистрации таких обозначений на свое имя или на имя третьих лиц. 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Не считаются нарушениями и не требуют согласования с Предприятием: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 xml:space="preserve">- предоставление Контрагентом третьим лицам информации с указанием общего наименования Товаров/Работ/Услуг, поставленных Контрагентом для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 xml:space="preserve">ООО «Вездеходы «Бурлак»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 xml:space="preserve">или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 xml:space="preserve">ООО «Вездеходы «Бурлак»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>в пользу Контрагента</w:t>
      </w:r>
      <w:r>
        <w:rPr>
          <w:rFonts w:cs="Arial"/>
          <w:sz w:val="20"/>
          <w:szCs w:val="20"/>
          <w:lang w:val="ru-RU"/>
        </w:rPr>
        <w:t>, с указанием периодов их поставки/выполнения/оказания (без раскрытия детальной информации, в т.ч. технических подробностей, деталей, касающихся условий сделок, хода их заключения и исполнения и без каких-либо оценочных суждений);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- предоставление Контрагентом информации государственным органам по их запросу, обусловленное необходимостью соблюдения Контрагентом требований действующих правовых норм, с уведомлением Предприятия о таком предоставлении информации. Такое уведомление должно быть подано в адрес Предприятия не позднее трёх суток (с момента получения соответствующего запроса от государственного органа), либо не позднее суток (с момента получения соответствующего запроса от государственного органа) в случае необходимости немедленного исполнения запроса. В уведомлении должно быть указано основание запроса и наименование государственного органа, запрашивающего информацию. 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 xml:space="preserve">- предоставление Контрагентом третьим лицам информации, которая раскрыта для всеобщего сведения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>ООО «Вездеходы «Бурлак»</w:t>
      </w:r>
      <w:r>
        <w:rPr>
          <w:rFonts w:cs="Arial"/>
          <w:sz w:val="20"/>
          <w:szCs w:val="20"/>
          <w:lang w:val="ru-RU"/>
        </w:rPr>
        <w:t xml:space="preserve"> путем размещения на принадлежащих веб-сайтах либо иным образом.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Настоящий пункт действует в течение 20 лет с момента прекращения действия Общих условий или Договора, в зависимости от того, какой момент наступит позднее.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>
          <w:rFonts w:cs="Arial"/>
          <w:b/>
          <w:b/>
          <w:bCs/>
          <w:caps/>
          <w:sz w:val="20"/>
          <w:szCs w:val="20"/>
          <w:lang w:val="ru-RU"/>
        </w:rPr>
      </w:pPr>
      <w:bookmarkStart w:id="13" w:name="_Toc465692979"/>
      <w:bookmarkStart w:id="14" w:name="_DV_M31"/>
      <w:bookmarkEnd w:id="14"/>
      <w:r>
        <w:rPr>
          <w:rFonts w:cs="Arial"/>
          <w:b/>
          <w:bCs/>
          <w:caps/>
          <w:sz w:val="20"/>
          <w:szCs w:val="20"/>
          <w:lang w:val="ru-RU"/>
        </w:rPr>
        <w:t>ВОЗВРАТ Или УНИЧТОЖЕНИЕ ИНФОРМАЦИИ</w:t>
      </w:r>
      <w:bookmarkEnd w:id="13"/>
    </w:p>
    <w:p>
      <w:pPr>
        <w:pStyle w:val="Normal"/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ascii="Arial" w:hAnsi="Arial" w:cs="Arial"/>
          <w:sz w:val="20"/>
          <w:lang w:eastAsia="en-US"/>
        </w:rPr>
      </w:pPr>
      <w:r>
        <w:rPr>
          <w:rFonts w:cs="Arial" w:ascii="Arial" w:hAnsi="Arial"/>
          <w:sz w:val="20"/>
          <w:lang w:eastAsia="en-US"/>
        </w:rPr>
        <w:t>Принимающая сторона обязана за свой счет в течение десяти (10) рабочих дней после получения письменного требования от Раскрывающей стороны (за исключением случаев, когда Информация является результатом выполненных работ/оказанных услуг или/и имеет отношение к товарам, продаваемым любой Стороной другой Стороне):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возвратить или уничтожить всю Информацию, предоставленную Принимающей стороне и ее Уполномоченным получателям в письменной форме;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426" w:leader="none"/>
          <w:tab w:val="left" w:pos="993" w:leader="none"/>
          <w:tab w:val="left" w:pos="1418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уничтожить все результаты обработки, компиляции или исследований, заметки, записки и другие документы, подготовленные Принимающей стороной или ее Уполномоченными получателями, содержащие или отражающие Информацию. Принимающая сторона и ее Уполномоченные получатели вправе сохранить копию какой-либо части Информации в случаях, когда это требуется в соответствии с законодательством, требованием суда, государственного органа, если при этом не происходит нарушения обязательств по сохранению конфиденциальности такой Информации и при условии надлежащего архивирования данных;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при наличии такой возможности удалить или обеспечить удаление без возможности восстановления Информации, сохраненной на компьютерах, в системах обработки текстов и на любых иных устройствах, находящихся в распоряжении, на хранении или под контролем Принимающей стороны и (или) ее Уполномоченных получателей (при этом Стороны признают и подтверждают, что удаление без возможности восстановления Принимающей стороной и (или) ее Уполномоченными получателями любой Информации, созданной в результате автоматического архивирования и резервирования данных, практически не осуществимо); и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подтвердить, что все требования, предусмотренные разделом 5 (пять), выполнены в полном объеме. </w:t>
      </w:r>
    </w:p>
    <w:p>
      <w:pPr>
        <w:pStyle w:val="ListParagraph"/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>
          <w:rFonts w:cs="Arial"/>
          <w:b/>
          <w:b/>
          <w:bCs/>
          <w:caps/>
          <w:sz w:val="20"/>
          <w:szCs w:val="20"/>
          <w:lang w:val="ru-RU"/>
        </w:rPr>
      </w:pPr>
      <w:bookmarkStart w:id="15" w:name="_Toc465692981"/>
      <w:r>
        <w:rPr>
          <w:rFonts w:cs="Arial"/>
          <w:b/>
          <w:bCs/>
          <w:caps/>
          <w:sz w:val="20"/>
          <w:szCs w:val="20"/>
          <w:lang w:val="ru-RU"/>
        </w:rPr>
        <w:t>УВЕДОМЛЕНИЯ</w:t>
      </w:r>
      <w:bookmarkEnd w:id="15"/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>Любые уведомления, претензии или требования, имеющие отношение к Общим условиям (далее – «</w:t>
      </w:r>
      <w:r>
        <w:rPr>
          <w:rFonts w:cs="Arial"/>
          <w:b/>
          <w:bCs/>
          <w:sz w:val="20"/>
          <w:szCs w:val="20"/>
          <w:lang w:val="ru-RU"/>
        </w:rPr>
        <w:t>Уведомления</w:t>
      </w:r>
      <w:r>
        <w:rPr>
          <w:rFonts w:cs="Arial"/>
          <w:sz w:val="20"/>
          <w:szCs w:val="20"/>
          <w:lang w:val="ru-RU"/>
        </w:rPr>
        <w:t xml:space="preserve">»), должны быть составлены письменной форме и направлены соответствующей Стороне по адресу, указанному в Приложении №1 к Общим условиям (или любому другому адресу, в том числе адресу электронной почты, о котором такая Сторона впоследствии письменно сообщит другой Стороне).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993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bookmarkStart w:id="16" w:name="_Ref466276089"/>
      <w:r>
        <w:rPr>
          <w:rFonts w:cs="Arial"/>
          <w:sz w:val="20"/>
          <w:szCs w:val="20"/>
          <w:lang w:val="ru-RU"/>
        </w:rPr>
        <w:t>Уведомления могут</w:t>
      </w:r>
      <w:r>
        <w:rPr>
          <w:rFonts w:cs="Arial"/>
          <w:sz w:val="20"/>
          <w:szCs w:val="20"/>
          <w:lang w:val="en-US"/>
        </w:rPr>
        <w:t>:</w:t>
      </w:r>
      <w:bookmarkEnd w:id="16"/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bookmarkStart w:id="17" w:name="_Ref466276106"/>
      <w:r>
        <w:rPr>
          <w:rFonts w:cs="Arial"/>
          <w:sz w:val="20"/>
          <w:szCs w:val="20"/>
          <w:lang w:val="ru-RU"/>
        </w:rPr>
        <w:t>доставляться лично в руки;</w:t>
      </w:r>
      <w:bookmarkEnd w:id="17"/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bookmarkStart w:id="18" w:name="_Ref466276097"/>
      <w:r>
        <w:rPr>
          <w:rFonts w:cs="Arial"/>
          <w:sz w:val="20"/>
          <w:szCs w:val="20"/>
          <w:lang w:val="ru-RU"/>
        </w:rPr>
        <w:t>направляться электронным сообщением по электронной почте;</w:t>
      </w:r>
      <w:bookmarkEnd w:id="18"/>
      <w:r>
        <w:rPr>
          <w:rFonts w:cs="Arial"/>
          <w:sz w:val="20"/>
          <w:szCs w:val="20"/>
          <w:lang w:val="ru-RU"/>
        </w:rPr>
        <w:t xml:space="preserve"> 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направляться посредством ЭДО;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51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bookmarkStart w:id="19" w:name="_Ref466276119"/>
      <w:r>
        <w:rPr>
          <w:rFonts w:cs="Arial"/>
          <w:sz w:val="20"/>
          <w:szCs w:val="20"/>
          <w:lang w:val="ru-RU"/>
        </w:rPr>
        <w:t>направляться службой курьерской доставки</w:t>
      </w:r>
      <w:bookmarkEnd w:id="19"/>
      <w:r>
        <w:rPr>
          <w:rFonts w:cs="Arial"/>
          <w:sz w:val="20"/>
          <w:szCs w:val="20"/>
          <w:lang w:val="ru-RU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851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lang w:val="ru-RU"/>
        </w:rPr>
      </w:pPr>
      <w:r>
        <w:rPr>
          <w:rFonts w:cs="Arial"/>
          <w:sz w:val="20"/>
          <w:lang w:val="ru-RU"/>
        </w:rPr>
        <w:t>Уведомление считается доставленным в момент его получения, независимо от способа отправки.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851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lang w:val="ru-RU"/>
        </w:rPr>
      </w:pPr>
      <w:r>
        <w:rPr>
          <w:rFonts w:cs="Arial"/>
          <w:sz w:val="20"/>
          <w:lang w:val="ru-RU"/>
        </w:rPr>
        <w:t>Принимающая сторона обязана незамедлительно уведомить Раскрывающую сторону о фактах разглашения Информации третьим лицам (при этом, такое уведомление Раскрывающей стороны не освобождает Принимающую сторону от обязательств по соблюдению Режима конфиденциальности в отношении такой Информации).</w:t>
      </w:r>
    </w:p>
    <w:p>
      <w:pPr>
        <w:pStyle w:val="Normal"/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/>
      </w:pPr>
      <w:bookmarkStart w:id="20" w:name="_Toc465692984"/>
      <w:r>
        <w:rPr>
          <w:rFonts w:cs="Arial"/>
          <w:b/>
          <w:bCs/>
          <w:caps/>
          <w:sz w:val="20"/>
          <w:szCs w:val="20"/>
          <w:lang w:val="ru-RU"/>
        </w:rPr>
        <w:t xml:space="preserve">ЗАВЕРШЕНИЕ ПЕРЕГОВОРОВ. СРОК ДЕЙСТВИЯ </w:t>
      </w:r>
      <w:bookmarkEnd w:id="20"/>
      <w:r>
        <w:rPr>
          <w:rFonts w:cs="Arial"/>
          <w:b/>
          <w:bCs/>
          <w:caps/>
          <w:sz w:val="20"/>
          <w:szCs w:val="20"/>
          <w:lang w:val="ru-RU"/>
        </w:rPr>
        <w:t>ОБЩИХ УСЛОВИЙ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В случае принятия какой-либо Стороной решения об отказе от дальнейших переговоров с другой Стороной в отношении Предмета сотрудничества такая Сторона незамедлительно уведомляет об этом другую Сторону в письменной форме.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 xml:space="preserve">Общие условия вступают в силу для Сторон в дату присоединения к ним Контрагентом путем подписания и направления Уведомления о присоединении к Общим условиям </w:t>
      </w:r>
      <w:r>
        <w:rPr>
          <w:rFonts w:eastAsia="Times New Roman" w:cs="Arial"/>
          <w:color w:val="auto"/>
          <w:kern w:val="0"/>
          <w:sz w:val="20"/>
          <w:szCs w:val="20"/>
          <w:lang w:val="ru-RU" w:eastAsia="en-US" w:bidi="ar-SA"/>
        </w:rPr>
        <w:t>ООО «Вездеходы «Бурлак»</w:t>
      </w:r>
      <w:r>
        <w:rPr>
          <w:rFonts w:cs="Arial"/>
          <w:sz w:val="20"/>
          <w:szCs w:val="20"/>
          <w:lang w:val="ru-RU"/>
        </w:rPr>
        <w:t xml:space="preserve"> или путем подписания Договора, содержащего положения о присоединении к Общим условиям, (далее – «Дата вступления в силу), и сохраняют свое действие в течение 3 (трех) лет, если иное не предусмотрено в Уведомлении о присоединении.</w:t>
      </w:r>
      <w:r>
        <w:rPr>
          <w:rFonts w:cs="Arial"/>
          <w:i/>
          <w:color w:val="548DD4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  <w:lang w:val="ru-RU"/>
        </w:rPr>
        <w:t>Обязательства по неразглашению Информации сохраняются для Сторон в течение 3 (трех) лет с момента прекращения действия Общих условий.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Общие условия применяются ретроспективно (имеет обратную силу) в отношении Информации, которая была сообщена Принимающей стороне для достижения Цели до Даты вступления в силу. 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Изменения Общих условий могут быть произведены в одностороннем порядке Предприятием путем размещения обновленной редакции на веб-сайте: https://burlakoffroad.com/ru. Изменения вступают в силу с момента размещения новой редакции Общих условий на веб-сайте, в соответствующем разделе. </w:t>
      </w:r>
    </w:p>
    <w:p>
      <w:pPr>
        <w:pStyle w:val="ListParagraph"/>
        <w:tabs>
          <w:tab w:val="clear" w:pos="709"/>
          <w:tab w:val="left" w:pos="482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567" w:right="0" w:hanging="0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ind w:left="0" w:right="0" w:firstLine="567"/>
        <w:contextualSpacing/>
        <w:rPr/>
      </w:pPr>
      <w:bookmarkStart w:id="21" w:name="_Toc465692992"/>
      <w:r>
        <w:rPr>
          <w:rFonts w:cs="Arial"/>
          <w:b/>
          <w:bCs/>
          <w:caps/>
          <w:sz w:val="20"/>
          <w:szCs w:val="20"/>
          <w:lang w:val="ru-RU"/>
        </w:rPr>
        <w:t>ПРИМЕНИМОЕ ЗАКОНОДАТЕЛЬСТВО</w:t>
      </w:r>
      <w:bookmarkEnd w:id="21"/>
      <w:r>
        <w:rPr>
          <w:rFonts w:cs="Arial"/>
          <w:b/>
          <w:bCs/>
          <w:caps/>
          <w:sz w:val="20"/>
          <w:szCs w:val="20"/>
          <w:lang w:val="ru-RU"/>
        </w:rPr>
        <w:t xml:space="preserve"> И Разрешение споров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0" w:after="0"/>
        <w:ind w:left="0" w:right="0" w:firstLine="567"/>
        <w:contextualSpacing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Общие условия и любые внедоговорные обязательства, возникающие из Условий или в связи с ним, регулируются и подлежат толкованию в соответствии с законодательством Российской Федерации.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0" w:after="0"/>
        <w:ind w:left="0" w:right="0" w:firstLine="567"/>
        <w:contextualSpacing/>
        <w:rPr/>
      </w:pPr>
      <w:bookmarkStart w:id="22" w:name="_DV_M56"/>
      <w:bookmarkStart w:id="23" w:name="_DV_M54"/>
      <w:bookmarkEnd w:id="22"/>
      <w:bookmarkEnd w:id="23"/>
      <w:r>
        <w:rPr>
          <w:rFonts w:cs="Arial"/>
          <w:sz w:val="20"/>
          <w:szCs w:val="20"/>
          <w:lang w:val="ru-RU"/>
        </w:rPr>
        <w:t xml:space="preserve">Все споры, возникающие из Условий или в связи с ними, Стороны разрешают в Арбитражном суде </w:t>
      </w:r>
      <w:r>
        <w:rPr>
          <w:rFonts w:cs="Arial"/>
          <w:sz w:val="20"/>
          <w:szCs w:val="20"/>
          <w:lang w:val="ru-RU"/>
        </w:rPr>
        <w:t>Курганской области.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2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0" w:after="0"/>
        <w:ind w:left="0" w:right="0" w:firstLine="567"/>
        <w:contextualSpacing/>
        <w:rPr/>
      </w:pPr>
      <w:r>
        <w:rPr>
          <w:rFonts w:cs="Arial"/>
          <w:sz w:val="20"/>
          <w:szCs w:val="20"/>
          <w:lang w:val="ru-RU"/>
        </w:rPr>
        <w:t>До передачи спора в арбитражный суд должна быть заявлена Претензия с приложением подтверждающих ее требование документов. Срок рассмотрения Претензии не может превышать 30 (Тридцать) дней со дня ее получения.</w:t>
      </w:r>
      <w:bookmarkStart w:id="24" w:name="Cell_Ins"/>
      <w:bookmarkStart w:id="25" w:name="Cell_Del"/>
      <w:bookmarkStart w:id="26" w:name="Cell_Move"/>
      <w:bookmarkStart w:id="27" w:name="Cell_Merge"/>
      <w:bookmarkStart w:id="28" w:name="Cell_Pad"/>
      <w:bookmarkEnd w:id="24"/>
      <w:bookmarkEnd w:id="25"/>
      <w:bookmarkEnd w:id="26"/>
      <w:bookmarkEnd w:id="27"/>
      <w:bookmarkEnd w:id="28"/>
    </w:p>
    <w:p>
      <w:pPr>
        <w:pStyle w:val="ListParagraph"/>
        <w:tabs>
          <w:tab w:val="clear" w:pos="709"/>
          <w:tab w:val="left" w:pos="482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0" w:after="0"/>
        <w:ind w:left="567" w:right="0" w:hanging="0"/>
        <w:contextualSpacing/>
        <w:rPr>
          <w:rFonts w:cs="Arial"/>
          <w:b/>
          <w:b/>
          <w:color w:val="FF0000"/>
          <w:sz w:val="20"/>
          <w:szCs w:val="20"/>
          <w:lang w:val="ru-RU"/>
        </w:rPr>
      </w:pPr>
      <w:r>
        <w:rPr>
          <w:rFonts w:cs="Arial"/>
          <w:b/>
          <w:color w:val="FF0000"/>
          <w:sz w:val="20"/>
          <w:szCs w:val="20"/>
          <w:lang w:val="ru-RU"/>
        </w:rPr>
      </w:r>
      <w:bookmarkStart w:id="29" w:name="_GoBack"/>
      <w:bookmarkStart w:id="30" w:name="_GoBack"/>
      <w:bookmarkEnd w:id="30"/>
    </w:p>
    <w:p>
      <w:pPr>
        <w:pStyle w:val="ListParagraph"/>
        <w:tabs>
          <w:tab w:val="clear" w:pos="709"/>
          <w:tab w:val="left" w:pos="482" w:leader="none"/>
          <w:tab w:val="left" w:pos="1134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0" w:after="0"/>
        <w:ind w:left="567" w:right="0" w:hanging="0"/>
        <w:contextualSpacing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482" w:leader="none"/>
          <w:tab w:val="left" w:pos="851" w:leader="none"/>
          <w:tab w:val="left" w:pos="1440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240" w:after="120"/>
        <w:contextualSpacing/>
        <w:rPr>
          <w:rFonts w:cs="Arial"/>
          <w:b/>
          <w:b/>
          <w:bCs/>
          <w:caps/>
          <w:sz w:val="20"/>
          <w:szCs w:val="20"/>
          <w:lang w:val="ru-RU"/>
        </w:rPr>
      </w:pPr>
      <w:r>
        <w:rPr>
          <w:rFonts w:cs="Arial"/>
          <w:b/>
          <w:bCs/>
          <w:caps/>
          <w:sz w:val="20"/>
          <w:szCs w:val="20"/>
          <w:lang w:val="ru-RU"/>
        </w:rPr>
        <w:t>ЗАВЕРЕНИЯ СТОРОН</w:t>
      </w:r>
    </w:p>
    <w:p>
      <w:pPr>
        <w:pStyle w:val="ListParagraph"/>
        <w:numPr>
          <w:ilvl w:val="1"/>
          <w:numId w:val="6"/>
        </w:numPr>
        <w:tabs>
          <w:tab w:val="left" w:pos="482" w:leader="none"/>
          <w:tab w:val="left" w:pos="709" w:leader="none"/>
          <w:tab w:val="left" w:pos="1134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Стороны заверяют и гарантируют друг другу, что каждая из Сторон на момент присоединения к Условиям: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/>
      </w:pPr>
      <w:r>
        <w:rPr>
          <w:rFonts w:cs="Arial"/>
          <w:sz w:val="20"/>
          <w:szCs w:val="20"/>
          <w:lang w:val="ru-RU"/>
        </w:rPr>
        <w:t xml:space="preserve">является юридическим лицом, надлежащим образом созданным и действующим в соответствии с применимым законодательством или </w:t>
      </w:r>
      <w:r>
        <w:rPr>
          <w:rFonts w:cs="Arial"/>
          <w:bCs/>
          <w:iCs/>
          <w:kern w:val="2"/>
          <w:sz w:val="20"/>
          <w:szCs w:val="20"/>
          <w:lang w:val="ru-RU"/>
        </w:rPr>
        <w:t>индивидуальным предпринимателем, зарегистрированным и осуществляющим свою деятельность в соответствии с применимым законодательством</w:t>
      </w:r>
      <w:r>
        <w:rPr>
          <w:rFonts w:cs="Arial"/>
          <w:sz w:val="20"/>
          <w:szCs w:val="20"/>
          <w:lang w:val="ru-RU"/>
        </w:rPr>
        <w:t>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представитель, подписывающий Уведомление о присоединении к Общим условиям или Договор, содержащий положения о присоединении к Общим условиям, от ее имени, обладает всеми необходимыми на то полномочиями;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принятие и исполнение обязательств по Общим условиям не влечет за собой нарушения какого-либо из положений учредительных документов, корпоративного договора и внутренних актов Стороны;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обязательства, установленные в Общих условиях, являются для нее действительными, законными и в случае неисполнения могут быть исполнены в принудительном порядке; 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присоединение к Общим условиям не нарушает каких-либо ее обязательств перед третьими лицами; 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получены все необходимые корпоративные одобрения органов управления, требующиеся для присоединения к Условиям;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/>
        <w:ind w:left="0" w:right="0" w:firstLine="567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не являются конкурентами, то есть хозяйствующими субъектами, осуществляющими продажу товаров на одном товарном рынке, на котором Сторонами заключены, заключаются или впоследствии будут заключены гражданско-правовые сделки и в связи, с которыми Стороны присоединяются к действию Общих условий.        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134" w:leader="none"/>
          <w:tab w:val="left" w:pos="1276" w:leader="none"/>
          <w:tab w:val="left" w:pos="2520" w:leader="none"/>
          <w:tab w:val="left" w:pos="3960" w:leader="none"/>
          <w:tab w:val="left" w:pos="5760" w:leader="none"/>
          <w:tab w:val="left" w:pos="7560" w:leader="none"/>
        </w:tabs>
        <w:spacing w:lineRule="auto" w:line="288" w:before="0" w:after="120"/>
        <w:ind w:left="0" w:right="0" w:firstLine="567"/>
        <w:contextualSpacing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Заверения и гарантии, изложенные в настоящем разделе, являются и будут оставаться достоверными и точными в течение всего срока присоединения Сторон к Условиям, и такие заверения рассматриваются как имеющие существенное значение для каждой Стороны. Каждая из Сторон полагается на них при присоединении к Условиям; недостоверность или нарушение таких заверений признается существенным нарушением Общих условий. В случае если заверения и гарантии оказались недостоверными, Сторона, предоставившая недостоверные заверения и гарантии, обязана возместить другой Стороне все убытки, понесенные по причине, связанной с такой недостоверностью.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nsultant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spacing w:before="60" w:after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pacing w:before="60" w:after="0"/>
      <w:jc w:val="right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i w:val="false"/>
        <w:b w:val="false"/>
        <w:iCs/>
        <w:bCs w:val="false"/>
        <w:color w:val="auto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50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25" w:hanging="648"/>
      </w:pPr>
      <w:rPr>
        <w:b w:val="false"/>
        <w:bCs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before="6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Deltaviewinsertion1">
    <w:name w:val="deltaviewinsertion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ижний колонтитул Знак"/>
    <w:qFormat/>
    <w:rPr>
      <w:sz w:val="24"/>
    </w:rPr>
  </w:style>
  <w:style w:type="character" w:styleId="Style14">
    <w:name w:val="Верхний колонтитул Знак"/>
    <w:qFormat/>
    <w:rPr>
      <w:sz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>
    <w:name w:val="Текст примечания Знак"/>
    <w:basedOn w:val="DefaultParagraphFont"/>
    <w:qFormat/>
    <w:rPr/>
  </w:style>
  <w:style w:type="character" w:styleId="Style16">
    <w:name w:val="Тема примечания Знак"/>
    <w:basedOn w:val="Style15"/>
    <w:qFormat/>
    <w:rPr>
      <w:b/>
      <w:bCs/>
    </w:rPr>
  </w:style>
  <w:style w:type="character" w:styleId="Style17">
    <w:name w:val="Посещённая гиперссылка"/>
    <w:basedOn w:val="DefaultParagraphFont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before="6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Стиль1"/>
    <w:basedOn w:val="1"/>
    <w:next w:val="ListContinue"/>
    <w:autoRedefine/>
    <w:qFormat/>
    <w:pPr>
      <w:keepLines/>
      <w:pageBreakBefore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ListContinue">
    <w:name w:val="List Continue"/>
    <w:basedOn w:val="Normal"/>
    <w:qFormat/>
    <w:pPr>
      <w:spacing w:before="60" w:after="120"/>
      <w:ind w:left="283" w:right="0" w:hanging="0"/>
    </w:pPr>
    <w:rPr/>
  </w:style>
  <w:style w:type="paragraph" w:styleId="21">
    <w:name w:val="Стиль2"/>
    <w:basedOn w:val="1"/>
    <w:next w:val="ListContinue"/>
    <w:autoRedefine/>
    <w:qFormat/>
    <w:pPr>
      <w:keepLines/>
      <w:spacing w:lineRule="atLeast" w:line="220"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31">
    <w:name w:val="Стиль3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">
    <w:name w:val="Стиль4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">
    <w:name w:val="Стиль5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6">
    <w:name w:val="Стиль6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7">
    <w:name w:val="Стиль7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8">
    <w:name w:val="Стиль8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9">
    <w:name w:val="Стиль9"/>
    <w:basedOn w:val="1"/>
    <w:next w:val="ListContinue"/>
    <w:autoRedefine/>
    <w:qFormat/>
    <w:pPr>
      <w:keepLines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10">
    <w:name w:val="Стиль10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11">
    <w:name w:val="Стиль11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2">
    <w:name w:val="Стиль12"/>
    <w:basedOn w:val="2"/>
    <w:next w:val="ListContinue"/>
    <w:autoRedefine/>
    <w:qFormat/>
    <w:pPr>
      <w:spacing w:before="0" w:after="0"/>
      <w:jc w:val="center"/>
    </w:pPr>
    <w:rPr>
      <w:rFonts w:ascii="Times New Roman" w:hAnsi="Times New Roman" w:cs="Times New Roman"/>
      <w:bCs w:val="false"/>
      <w:i w:val="false"/>
      <w:iCs w:val="false"/>
      <w:color w:val="000000"/>
      <w:spacing w:val="6"/>
      <w:szCs w:val="20"/>
    </w:rPr>
  </w:style>
  <w:style w:type="paragraph" w:styleId="13">
    <w:name w:val="Стиль13"/>
    <w:basedOn w:val="2"/>
    <w:next w:val="ListContinue"/>
    <w:autoRedefine/>
    <w:qFormat/>
    <w:pPr>
      <w:spacing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4">
    <w:name w:val="Стиль14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5">
    <w:name w:val="Стиль15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6">
    <w:name w:val="Стиль16"/>
    <w:basedOn w:val="1"/>
    <w:next w:val="ListContinue"/>
    <w:autoRedefine/>
    <w:qFormat/>
    <w:pPr>
      <w:keepLines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17">
    <w:name w:val="Стиль17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8">
    <w:name w:val="Стиль18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19">
    <w:name w:val="Стиль19"/>
    <w:basedOn w:val="5"/>
    <w:next w:val="ListContinue"/>
    <w:autoRedefine/>
    <w:qFormat/>
    <w:pPr/>
    <w:rPr/>
  </w:style>
  <w:style w:type="paragraph" w:styleId="20">
    <w:name w:val="Стиль20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11">
    <w:name w:val="Стиль21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2">
    <w:name w:val="Стиль22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3">
    <w:name w:val="Стиль23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5">
    <w:name w:val="Стиль25"/>
    <w:basedOn w:val="3"/>
    <w:autoRedefine/>
    <w:qFormat/>
    <w:pPr>
      <w:spacing w:before="0" w:after="0"/>
      <w:jc w:val="center"/>
    </w:pPr>
    <w:rPr>
      <w:rFonts w:ascii="Times New Roman" w:hAnsi="Times New Roman" w:cs="Times New Roman"/>
      <w:bCs w:val="false"/>
      <w:sz w:val="28"/>
      <w:szCs w:val="20"/>
    </w:rPr>
  </w:style>
  <w:style w:type="paragraph" w:styleId="26">
    <w:name w:val="Стиль26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7">
    <w:name w:val="Стиль27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8">
    <w:name w:val="Стиль28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29">
    <w:name w:val="Стиль29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0">
    <w:name w:val="Стиль30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11">
    <w:name w:val="Стиль31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2">
    <w:name w:val="Стиль32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3">
    <w:name w:val="Стиль33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4">
    <w:name w:val="Стиль34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5">
    <w:name w:val="Стиль35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6">
    <w:name w:val="Стиль36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7">
    <w:name w:val="Стиль37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</w:rPr>
  </w:style>
  <w:style w:type="paragraph" w:styleId="38">
    <w:name w:val="Стиль38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39">
    <w:name w:val="Стиль39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0">
    <w:name w:val="Стиль40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1">
    <w:name w:val="Стиль41"/>
    <w:basedOn w:val="1"/>
    <w:next w:val="ListContinue"/>
    <w:autoRedefine/>
    <w:qFormat/>
    <w:pPr>
      <w:keepLines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42">
    <w:name w:val="Стиль42"/>
    <w:basedOn w:val="2"/>
    <w:next w:val="ListContinue"/>
    <w:autoRedefine/>
    <w:qFormat/>
    <w:pPr>
      <w:spacing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3">
    <w:name w:val="Стиль43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4">
    <w:name w:val="Стиль44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5">
    <w:name w:val="Стиль45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6">
    <w:name w:val="Стиль46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7">
    <w:name w:val="Стиль47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8">
    <w:name w:val="Стиль48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49">
    <w:name w:val="Стиль49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0">
    <w:name w:val="Стиль50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1">
    <w:name w:val="Стиль51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2">
    <w:name w:val="Стиль52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3">
    <w:name w:val="Стиль53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4">
    <w:name w:val="Стиль54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5">
    <w:name w:val="Стиль55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56">
    <w:name w:val="Стиль56"/>
    <w:basedOn w:val="1"/>
    <w:next w:val="ListContinue"/>
    <w:autoRedefine/>
    <w:qFormat/>
    <w:pPr>
      <w:keepLines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57">
    <w:name w:val="Стиль57"/>
    <w:basedOn w:val="1"/>
    <w:next w:val="ListContinue"/>
    <w:autoRedefine/>
    <w:qFormat/>
    <w:pPr>
      <w:keepLines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58">
    <w:name w:val="Стиль58"/>
    <w:basedOn w:val="1"/>
    <w:next w:val="ListContinue"/>
    <w:autoRedefine/>
    <w:qFormat/>
    <w:pPr>
      <w:keepLines/>
      <w:spacing w:before="0" w:after="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59">
    <w:name w:val="Стиль59"/>
    <w:basedOn w:val="2"/>
    <w:next w:val="ListContinue"/>
    <w:autoRedefine/>
    <w:qFormat/>
    <w:pPr>
      <w:spacing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60">
    <w:name w:val="Стиль60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Cs w:val="false"/>
      <w:i w:val="false"/>
      <w:iCs w:val="false"/>
      <w:szCs w:val="20"/>
    </w:rPr>
  </w:style>
  <w:style w:type="paragraph" w:styleId="61">
    <w:name w:val="Стиль61"/>
    <w:basedOn w:val="1"/>
    <w:next w:val="ListContinue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62">
    <w:name w:val="Стиль62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3">
    <w:name w:val="Стиль63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4">
    <w:name w:val="Стиль64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5">
    <w:name w:val="Стиль65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6">
    <w:name w:val="Стиль66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7">
    <w:name w:val="Стиль67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8">
    <w:name w:val="Стиль68"/>
    <w:basedOn w:val="2"/>
    <w:next w:val="ListContinue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69">
    <w:name w:val="Стиль69"/>
    <w:basedOn w:val="1"/>
    <w:next w:val="ListContinue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70">
    <w:name w:val="Стиль70"/>
    <w:basedOn w:val="1"/>
    <w:next w:val="ListContinue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71">
    <w:name w:val="Стиль71"/>
    <w:basedOn w:val="1"/>
    <w:next w:val="ListContinue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72">
    <w:name w:val="Стиль72"/>
    <w:basedOn w:val="1"/>
    <w:next w:val="ListContinue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73">
    <w:name w:val="Стиль73"/>
    <w:basedOn w:val="2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74">
    <w:name w:val="Стиль74"/>
    <w:basedOn w:val="2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75">
    <w:name w:val="Стиль75"/>
    <w:basedOn w:val="2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76">
    <w:name w:val="Стиль76"/>
    <w:basedOn w:val="2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77">
    <w:name w:val="Стиль77"/>
    <w:basedOn w:val="2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78">
    <w:name w:val="Стиль78"/>
    <w:basedOn w:val="2"/>
    <w:autoRedefine/>
    <w:qFormat/>
    <w:pPr>
      <w:spacing w:lineRule="exact" w:line="240" w:before="0" w:after="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79">
    <w:name w:val="Стиль79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80">
    <w:name w:val="Стиль80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Cs w:val="false"/>
      <w:spacing w:val="-10"/>
      <w:kern w:val="2"/>
      <w:sz w:val="28"/>
      <w:szCs w:val="20"/>
    </w:rPr>
  </w:style>
  <w:style w:type="paragraph" w:styleId="81">
    <w:name w:val="Стиль81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8"/>
      <w:lang w:val="en-US"/>
    </w:rPr>
  </w:style>
  <w:style w:type="paragraph" w:styleId="82">
    <w:name w:val="Стиль82"/>
    <w:basedOn w:val="2"/>
    <w:autoRedefine/>
    <w:qFormat/>
    <w:pPr>
      <w:spacing w:lineRule="exact" w:line="240" w:before="0" w:after="0"/>
      <w:ind w:left="0" w:right="0" w:firstLine="5760"/>
      <w:jc w:val="center"/>
    </w:pPr>
    <w:rPr>
      <w:rFonts w:ascii="Times New Roman" w:hAnsi="Times New Roman" w:cs="Times New Roman"/>
      <w:b w:val="false"/>
      <w:bCs w:val="false"/>
      <w:i w:val="false"/>
      <w:iCs w:val="false"/>
      <w:szCs w:val="20"/>
    </w:rPr>
  </w:style>
  <w:style w:type="paragraph" w:styleId="83">
    <w:name w:val="Стиль83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84">
    <w:name w:val="Стиль84"/>
    <w:basedOn w:val="1"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85">
    <w:name w:val="Стиль85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86">
    <w:name w:val="Стиль86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87">
    <w:name w:val="Стиль87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0"/>
      <w:lang w:val="en-US"/>
    </w:rPr>
  </w:style>
  <w:style w:type="paragraph" w:styleId="90">
    <w:name w:val="Стиль90"/>
    <w:basedOn w:val="1"/>
    <w:autoRedefine/>
    <w:qFormat/>
    <w:pPr>
      <w:keepLines/>
      <w:spacing w:lineRule="atLeast" w:line="220" w:before="0" w:after="220"/>
      <w:jc w:val="center"/>
    </w:pPr>
    <w:rPr>
      <w:rFonts w:ascii="Times New Roman" w:hAnsi="Times New Roman" w:cs="Times New Roman"/>
      <w:b w:val="false"/>
      <w:bCs w:val="false"/>
      <w:spacing w:val="-10"/>
      <w:kern w:val="2"/>
      <w:sz w:val="28"/>
      <w:szCs w:val="28"/>
      <w:lang w:val="en-US"/>
    </w:rPr>
  </w:style>
  <w:style w:type="paragraph" w:styleId="Style23">
    <w:name w:val="Body Text Indent"/>
    <w:basedOn w:val="Normal"/>
    <w:pPr>
      <w:spacing w:before="60" w:after="120"/>
      <w:ind w:left="283" w:right="0" w:hanging="0"/>
    </w:pPr>
    <w:rPr/>
  </w:style>
  <w:style w:type="paragraph" w:styleId="BodyTextIndent2">
    <w:name w:val="Body Text Indent 2"/>
    <w:basedOn w:val="Normal"/>
    <w:qFormat/>
    <w:pPr>
      <w:spacing w:lineRule="auto" w:line="480" w:before="60" w:after="120"/>
      <w:ind w:left="283" w:right="0" w:hanging="0"/>
    </w:pPr>
    <w:rPr/>
  </w:style>
  <w:style w:type="paragraph" w:styleId="BodyText2">
    <w:name w:val="Body Text 2"/>
    <w:basedOn w:val="Normal"/>
    <w:qFormat/>
    <w:pPr>
      <w:widowControl/>
      <w:overflowPunct w:val="true"/>
      <w:spacing w:lineRule="auto" w:line="480" w:before="0" w:after="120"/>
      <w:jc w:val="left"/>
      <w:textAlignment w:val="auto"/>
    </w:pPr>
    <w:rPr>
      <w:szCs w:val="24"/>
    </w:rPr>
  </w:style>
  <w:style w:type="paragraph" w:styleId="Normal0">
    <w:name w:val="Normal_0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0"/>
      <w:ind w:left="0" w:right="0" w:firstLine="50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true"/>
      <w:bidi w:val="0"/>
      <w:snapToGrid w:val="false"/>
      <w:spacing w:before="0" w:after="0"/>
      <w:ind w:left="0" w:right="0" w:firstLine="720"/>
      <w:jc w:val="left"/>
    </w:pPr>
    <w:rPr>
      <w:rFonts w:ascii="Consultant" w:hAnsi="Consultant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overflowPunct w:val="true"/>
      <w:spacing w:lineRule="auto" w:line="360" w:before="0" w:after="120"/>
      <w:ind w:left="720" w:right="0" w:hanging="0"/>
      <w:contextualSpacing/>
    </w:pPr>
    <w:rPr>
      <w:rFonts w:ascii="Arial" w:hAnsi="Arial"/>
      <w:sz w:val="22"/>
      <w:szCs w:val="24"/>
      <w:lang w:val="en-GB" w:eastAsia="en-US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FWDL1">
    <w:name w:val="FWD_L1"/>
    <w:basedOn w:val="Normal"/>
    <w:qFormat/>
    <w:pPr>
      <w:overflowPunct w:val="true"/>
      <w:spacing w:lineRule="auto" w:line="360" w:before="0" w:after="240"/>
    </w:pPr>
    <w:rPr>
      <w:szCs w:val="24"/>
      <w:lang w:val="en-GB" w:eastAsia="en-US"/>
    </w:rPr>
  </w:style>
  <w:style w:type="paragraph" w:styleId="FWDL2">
    <w:name w:val="FWD_L2"/>
    <w:basedOn w:val="FWDL1"/>
    <w:qFormat/>
    <w:pPr>
      <w:tabs>
        <w:tab w:val="clear" w:pos="709"/>
        <w:tab w:val="left" w:pos="643" w:leader="none"/>
        <w:tab w:val="left" w:pos="1440" w:leader="none"/>
      </w:tabs>
      <w:ind w:left="643" w:right="0" w:hanging="360"/>
    </w:pPr>
    <w:rPr/>
  </w:style>
  <w:style w:type="paragraph" w:styleId="FWDL3">
    <w:name w:val="FWD_L3"/>
    <w:basedOn w:val="FWDL2"/>
    <w:qFormat/>
    <w:pPr>
      <w:tabs>
        <w:tab w:val="clear" w:pos="1440"/>
        <w:tab w:val="left" w:pos="643" w:leader="none"/>
        <w:tab w:val="left" w:pos="2160" w:leader="none"/>
      </w:tabs>
      <w:ind w:left="643" w:right="0" w:hanging="360"/>
    </w:pPr>
    <w:rPr/>
  </w:style>
  <w:style w:type="paragraph" w:styleId="FWDL4">
    <w:name w:val="FWD_L4"/>
    <w:basedOn w:val="FWDL3"/>
    <w:qFormat/>
    <w:pPr>
      <w:tabs>
        <w:tab w:val="clear" w:pos="2160"/>
        <w:tab w:val="left" w:pos="643" w:leader="none"/>
        <w:tab w:val="left" w:pos="2880" w:leader="none"/>
      </w:tabs>
      <w:ind w:left="643" w:right="0" w:hanging="360"/>
    </w:pPr>
    <w:rPr/>
  </w:style>
  <w:style w:type="paragraph" w:styleId="FWDL5">
    <w:name w:val="FWD_L5"/>
    <w:basedOn w:val="FWDL4"/>
    <w:qFormat/>
    <w:pPr>
      <w:tabs>
        <w:tab w:val="clear" w:pos="2880"/>
        <w:tab w:val="left" w:pos="643" w:leader="none"/>
        <w:tab w:val="left" w:pos="3600" w:leader="none"/>
      </w:tabs>
      <w:ind w:left="643" w:right="0" w:hanging="360"/>
    </w:pPr>
    <w:rPr/>
  </w:style>
  <w:style w:type="paragraph" w:styleId="FWDL6">
    <w:name w:val="FWD_L6"/>
    <w:basedOn w:val="FWDL5"/>
    <w:qFormat/>
    <w:pPr>
      <w:tabs>
        <w:tab w:val="clear" w:pos="3600"/>
        <w:tab w:val="left" w:pos="643" w:leader="none"/>
        <w:tab w:val="left" w:pos="4320" w:leader="none"/>
      </w:tabs>
      <w:ind w:left="643" w:right="0" w:hanging="360"/>
    </w:pPr>
    <w:rPr/>
  </w:style>
  <w:style w:type="paragraph" w:styleId="FWDL7">
    <w:name w:val="FWD_L7"/>
    <w:basedOn w:val="FWDL6"/>
    <w:qFormat/>
    <w:pPr>
      <w:tabs>
        <w:tab w:val="clear" w:pos="4320"/>
        <w:tab w:val="left" w:pos="643" w:leader="none"/>
        <w:tab w:val="left" w:pos="5040" w:leader="none"/>
      </w:tabs>
      <w:ind w:left="643" w:right="0" w:hanging="360"/>
    </w:pPr>
    <w:rPr/>
  </w:style>
  <w:style w:type="paragraph" w:styleId="ListNumber3">
    <w:name w:val="List Number 3"/>
    <w:basedOn w:val="Normal"/>
    <w:qFormat/>
    <w:pPr>
      <w:tabs>
        <w:tab w:val="clear" w:pos="709"/>
        <w:tab w:val="left" w:pos="4464" w:leader="none"/>
      </w:tabs>
      <w:overflowPunct w:val="true"/>
      <w:spacing w:lineRule="auto" w:line="360" w:before="0" w:after="120"/>
    </w:pPr>
    <w:rPr>
      <w:rFonts w:ascii="Arial" w:hAnsi="Arial"/>
      <w:sz w:val="22"/>
      <w:szCs w:val="24"/>
      <w:lang w:val="en-GB" w:eastAsia="en-US"/>
    </w:rPr>
  </w:style>
  <w:style w:type="paragraph" w:styleId="FWBL2">
    <w:name w:val="FWB_L2"/>
    <w:basedOn w:val="Normal"/>
    <w:qFormat/>
    <w:pPr>
      <w:tabs>
        <w:tab w:val="clear" w:pos="709"/>
        <w:tab w:val="left" w:pos="360" w:leader="none"/>
      </w:tabs>
      <w:overflowPunct w:val="true"/>
      <w:spacing w:lineRule="auto" w:line="360" w:before="0" w:after="240"/>
      <w:ind w:left="360" w:right="0" w:hanging="360"/>
    </w:pPr>
    <w:rPr>
      <w:szCs w:val="24"/>
      <w:lang w:val="en-GB" w:eastAsia="en-US"/>
    </w:rPr>
  </w:style>
  <w:style w:type="paragraph" w:styleId="FWBL3">
    <w:name w:val="FWB_L3"/>
    <w:basedOn w:val="FWBL2"/>
    <w:qFormat/>
    <w:pPr>
      <w:ind w:left="360" w:right="0" w:hanging="360"/>
    </w:pPr>
    <w:rPr/>
  </w:style>
  <w:style w:type="paragraph" w:styleId="FWBL4">
    <w:name w:val="FWB_L4"/>
    <w:basedOn w:val="FWBL3"/>
    <w:qFormat/>
    <w:pPr>
      <w:tabs>
        <w:tab w:val="left" w:pos="360" w:leader="none"/>
        <w:tab w:val="left" w:pos="2520" w:leader="none"/>
      </w:tabs>
      <w:ind w:left="360" w:right="0" w:hanging="360"/>
    </w:pPr>
    <w:rPr/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Application>LibreOffice/6.4.7.2$Linux_X86_64 LibreOffice_project/40$Build-2</Application>
  <Pages>5</Pages>
  <Words>2062</Words>
  <Characters>14595</Characters>
  <CharactersWithSpaces>16552</CharactersWithSpaces>
  <Paragraphs>84</Paragraphs>
  <Company>АК "СИБУР"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2025-05-15T11:36:00Z</dcterms:created>
  <dc:creator>ChikinaNA</dc:creator>
  <dc:description/>
  <dc:language>ru-RU</dc:language>
  <cp:lastModifiedBy/>
  <cp:lastPrinted>2017-11-13T13:38:00Z</cp:lastPrinted>
  <dcterms:modified xsi:type="dcterms:W3CDTF">2025-12-30T10:43:35Z</dcterms:modified>
  <cp:revision>19</cp:revision>
  <dc:subject/>
  <dc:title>NDA_обмен информацией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АК "СИБУР"</vt:lpwstr>
  </property>
  <property fmtid="{D5CDD505-2E9C-101B-9397-08002B2CF9AE}" pid="4" name="ContentTypeId">
    <vt:lpwstr>0x0101005212DEAE588D5D4BAA760B5078F8715D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dlc_DocIdItemGuid">
    <vt:lpwstr>5b0db6b8-bb03-435c-b086-eef30355971a</vt:lpwstr>
  </property>
</Properties>
</file>